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3314F"/>
          <w:sz w:val="30"/>
          <w:szCs w:val="30"/>
        </w:rPr>
        <w:t xml:space="preserve">KİŞİSEL VERİLERİN İŞLENMESİNE İLİŞKİN AYDINLATMA METNİ</w:t>
      </w:r>
    </w:p>
    <w:p>
      <w:pPr>
        <w:pBdr>
          <w:bottom w:val="single" w:color="1F6FB2" w:sz="12" w:space="8"/>
        </w:pBdr>
        <w:spacing w:after="240"/>
        <w:jc w:val="center"/>
      </w:pPr>
      <w:r>
        <w:rPr>
          <w:rFonts w:ascii="Calibri" w:cs="Calibri" w:eastAsia="Calibri" w:hAnsi="Calibri"/>
          <w:color w:val="595959"/>
          <w:sz w:val="20"/>
          <w:szCs w:val="20"/>
        </w:rPr>
        <w:t xml:space="preserve">UNG Sağlık Teknolojileri Ürünleri ve Hizmetleri Ltd. Şti. — www.ungmedical.com</w:t>
      </w:r>
    </w:p>
    <w:p>
      <w:pPr>
        <w:pStyle w:val="Heading1"/>
        <w:pBdr>
          <w:bottom w:val="single" w:color="C9D6E2" w:sz="8" w:space="6"/>
        </w:pBdr>
        <w:spacing w:after="160" w:before="320"/>
      </w:pPr>
      <w:r>
        <w:rPr>
          <w:rFonts w:ascii="Calibri" w:cs="Calibri" w:eastAsia="Calibri" w:hAnsi="Calibri"/>
          <w:b/>
          <w:bCs/>
          <w:color w:val="13314F"/>
          <w:sz w:val="24"/>
          <w:szCs w:val="24"/>
        </w:rPr>
        <w:t xml:space="preserve">1. Veri Sorumlusunun Kimliği</w:t>
      </w:r>
    </w:p>
    <w:p>
      <w:pPr>
        <w:spacing w:after="100" w:before="0" w:line="264"/>
        <w:jc w:val="both"/>
      </w:pPr>
      <w:r>
        <w:rPr>
          <w:rFonts w:ascii="Calibri" w:cs="Calibri" w:eastAsia="Calibri" w:hAnsi="Calibri"/>
          <w:b w:val="false"/>
          <w:bCs w:val="false"/>
          <w:i w:val="false"/>
          <w:iCs w:val="false"/>
          <w:color w:val="1A1A1A"/>
          <w:sz w:val="20"/>
          <w:szCs w:val="20"/>
        </w:rPr>
        <w:t xml:space="preserve">6698 sayılı Kişisel Verilerin Korunması Kanunu (“Kanun”) uyarınca kişisel verileriniz, veri sorumlusu sıfatıyla aşağıda bilgileri yer alan şirketimiz tarafından işlenmektedir.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100"/>
        <w:gridCol w:w="6538"/>
      </w:tblGrid>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Veri Sorumlusu Unvanı</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 Sağlık Teknolojileri Ürünleri ve Hizmetleri Ltd. Şti.</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Marka</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 Medical</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Adres</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Üsküdar Üniversitesi Merkez Yerleşkesi D Blok, Altunizade, Haluk Türksoy Sok. No: 8, 34662 Üsküdar / İstanbul</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Telefon</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+90 (533) 132 96 30</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E-posta</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info@ungmedical.com</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KEP Adresi</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ung@hs01.kep.tr</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İnternet Sitesi</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www.ungmedical.com</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İrtibat Kişisi</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Hacer Fulya Üçem</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2. Aydınlatma Metninin Kapsamı</w:t>
      </w:r>
    </w:p>
    <w:p>
      <w:pPr>
        <w:spacing w:after="100" w:before="0" w:line="264"/>
        <w:jc w:val="both"/>
      </w:pPr>
      <w:r>
        <w:rPr>
          <w:rFonts w:ascii="Calibri" w:cs="Calibri" w:eastAsia="Calibri" w:hAnsi="Calibri"/>
          <w:b w:val="false"/>
          <w:bCs w:val="false"/>
          <w:i w:val="false"/>
          <w:iCs w:val="false"/>
          <w:color w:val="1A1A1A"/>
          <w:sz w:val="20"/>
          <w:szCs w:val="20"/>
        </w:rPr>
        <w:t xml:space="preserve">Bu Aydınlatma Metni, Kanun’un 10’uncu maddesi ile Aydınlatma Yükümlülüğünün Yerine Getirilmesinde Uyulacak Usul ve Esaslar Hakkında Tebliğ hükümleri kapsamında hazırlanmıştır. Metin; internet sitemizi ziyaret eden kişileri, iletişim ve başvuru formlarımızı kullanan kişileri, iş başvurusunda bulunan aday ve aday adaylarını, iş ortaklarımızın, tedarikçilerimizin ve akademik/klinik paydaşlarımızın yetkili ve çalışanlarını ve şirketimizle iletişime geçen diğer tüm gerçek kişileri kapsar.</w:t>
      </w:r>
    </w:p>
    <w:p>
      <w:pPr>
        <w:spacing w:after="100" w:before="0" w:line="264"/>
        <w:jc w:val="both"/>
      </w:pPr>
      <w:r>
        <w:rPr>
          <w:rFonts w:ascii="Calibri" w:cs="Calibri" w:eastAsia="Calibri" w:hAnsi="Calibri"/>
          <w:b w:val="false"/>
          <w:bCs w:val="false"/>
          <w:i w:val="false"/>
          <w:iCs w:val="false"/>
          <w:color w:val="1A1A1A"/>
          <w:sz w:val="20"/>
          <w:szCs w:val="20"/>
        </w:rPr>
        <w:t xml:space="preserve">Belirli işleme faaliyetleri bakımından ayrıca hazırlanmış özel aydınlatma metinleri (Çerez Aydınlatma Metni, İletişim Formu Aydınlatma Metni, Çalışan Adayı Aydınlatma Metni vb.) bulunmakta olup, bu metinler işbu Aydınlatma Metnini tamamlayıcı niteliktedir.</w:t>
      </w:r>
    </w:p>
    <w:p>
      <w:pPr>
        <w:pStyle w:val="Heading1"/>
        <w:pBdr>
          <w:bottom w:val="single" w:color="C9D6E2" w:sz="8" w:space="6"/>
        </w:pBdr>
        <w:spacing w:after="160" w:before="320"/>
      </w:pPr>
      <w:r>
        <w:rPr>
          <w:rFonts w:ascii="Calibri" w:cs="Calibri" w:eastAsia="Calibri" w:hAnsi="Calibri"/>
          <w:b/>
          <w:bCs/>
          <w:color w:val="13314F"/>
          <w:sz w:val="24"/>
          <w:szCs w:val="24"/>
        </w:rPr>
        <w:t xml:space="preserve">3. İşlenen Kişisel Veri Kategorileri</w:t>
      </w:r>
    </w:p>
    <w:p>
      <w:pPr>
        <w:spacing w:after="100" w:before="0" w:line="264"/>
        <w:jc w:val="both"/>
      </w:pPr>
      <w:r>
        <w:rPr>
          <w:rFonts w:ascii="Calibri" w:cs="Calibri" w:eastAsia="Calibri" w:hAnsi="Calibri"/>
          <w:b w:val="false"/>
          <w:bCs w:val="false"/>
          <w:i w:val="false"/>
          <w:iCs w:val="false"/>
          <w:color w:val="1A1A1A"/>
          <w:sz w:val="20"/>
          <w:szCs w:val="20"/>
        </w:rPr>
        <w:t xml:space="preserve">Şirketimiz tarafından, ilgili kişi grubuna göre aşağıdaki kişisel veri kategorileri işlenmektedir: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050"/>
        <w:gridCol w:w="2350"/>
        <w:gridCol w:w="5238"/>
      </w:tblGrid>
      <w:tr>
        <w:trPr>
          <w:tblHeader/>
        </w:trPr>
        <w:tc>
          <w:tcPr>
            <w:tcW w:type="dxa" w:w="205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İlgili Kişi Grubu</w:t>
            </w:r>
          </w:p>
        </w:tc>
        <w:tc>
          <w:tcPr>
            <w:tcW w:type="dxa" w:w="235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Veri Kategorisi</w:t>
            </w:r>
          </w:p>
        </w:tc>
        <w:tc>
          <w:tcPr>
            <w:tcW w:type="dxa" w:w="52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İşlenen Veriler</w:t>
            </w:r>
          </w:p>
        </w:tc>
      </w:tr>
      <w:tr>
        <w:tc>
          <w:tcPr>
            <w:tcW w:type="dxa" w:w="20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İnternet sitesi ziyaretçisi</w:t>
            </w:r>
          </w:p>
        </w:tc>
        <w:tc>
          <w:tcPr>
            <w:tcW w:type="dxa" w:w="23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İşlem Güvenliği</w:t>
            </w:r>
          </w:p>
        </w:tc>
        <w:tc>
          <w:tcPr>
            <w:tcW w:type="dxa" w:w="5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IP adresi, tarayıcı ve cihaz bilgisi, işletim sistemi, görüntülenen sayfalar, ziyaret tarih ve saati, yönlendiren adres, dil tercihi</w:t>
            </w:r>
          </w:p>
        </w:tc>
      </w:tr>
      <w:tr>
        <w:tc>
          <w:tcPr>
            <w:tcW w:type="dxa" w:w="20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İletişim formu kullanıcısı</w:t>
            </w:r>
          </w:p>
        </w:tc>
        <w:tc>
          <w:tcPr>
            <w:tcW w:type="dxa" w:w="23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Diğer</w:t>
            </w:r>
          </w:p>
        </w:tc>
        <w:tc>
          <w:tcPr>
            <w:tcW w:type="dxa" w:w="5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Ad-soyad, e-posta adresi, telefon numarası, mesaj içeriği</w:t>
            </w:r>
          </w:p>
        </w:tc>
      </w:tr>
      <w:tr>
        <w:tc>
          <w:tcPr>
            <w:tcW w:type="dxa" w:w="20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Çalışan adayı / aday adayı</w:t>
            </w:r>
          </w:p>
        </w:tc>
        <w:tc>
          <w:tcPr>
            <w:tcW w:type="dxa" w:w="23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Eğitim, Mesleki Deneyim, Diğer</w:t>
            </w:r>
          </w:p>
        </w:tc>
        <w:tc>
          <w:tcPr>
            <w:tcW w:type="dxa" w:w="5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Ad-soyad, e-posta adresi, telefon numarası, başvurulan pozisyon, özgeçmiş (CV) içeriğinde yer alan öğrenim, iş deneyimi, yetkinlik, referans ve serbest metin bilgileri</w:t>
            </w:r>
          </w:p>
        </w:tc>
      </w:tr>
      <w:tr>
        <w:tc>
          <w:tcPr>
            <w:tcW w:type="dxa" w:w="20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 ortağı, tedarikçi ve paydaş yetkilisi</w:t>
            </w:r>
          </w:p>
        </w:tc>
        <w:tc>
          <w:tcPr>
            <w:tcW w:type="dxa" w:w="23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Finans, Hukuki İşlem</w:t>
            </w:r>
          </w:p>
        </w:tc>
        <w:tc>
          <w:tcPr>
            <w:tcW w:type="dxa" w:w="5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Ad-soyad, unvan, kurumsal e-posta ve telefon, imza, sözleşme ve fatura bilgileri, ödeme bilgileri</w:t>
            </w:r>
          </w:p>
        </w:tc>
      </w:tr>
      <w:tr>
        <w:tc>
          <w:tcPr>
            <w:tcW w:type="dxa" w:w="20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Klinik ve akademik iş birliği paydaşı</w:t>
            </w:r>
          </w:p>
        </w:tc>
        <w:tc>
          <w:tcPr>
            <w:tcW w:type="dxa" w:w="23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Mesleki Deneyim</w:t>
            </w:r>
          </w:p>
        </w:tc>
        <w:tc>
          <w:tcPr>
            <w:tcW w:type="dxa" w:w="5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Ad-soyad, unvan, kurum bilgisi, kurumsal iletişim bilgileri, proje ve yayın katkı bilgileri</w:t>
            </w:r>
          </w:p>
        </w:tc>
      </w:tr>
      <w:tr>
        <w:tc>
          <w:tcPr>
            <w:tcW w:type="dxa" w:w="20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Bülten / duyuru abonesi</w:t>
            </w:r>
          </w:p>
        </w:tc>
        <w:tc>
          <w:tcPr>
            <w:tcW w:type="dxa" w:w="23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İletişim, Pazarlama</w:t>
            </w:r>
          </w:p>
        </w:tc>
        <w:tc>
          <w:tcPr>
            <w:tcW w:type="dxa" w:w="5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E-posta adresi, onay tarihi ve kaynağı, İYS onay kaydı, gönderim ve etkileşim kayıtları</w:t>
            </w:r>
          </w:p>
        </w:tc>
      </w:tr>
      <w:tr>
        <w:tc>
          <w:tcPr>
            <w:tcW w:type="dxa" w:w="20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Veri sahibi başvurusu yapan kişi</w:t>
            </w:r>
          </w:p>
        </w:tc>
        <w:tc>
          <w:tcPr>
            <w:tcW w:type="dxa" w:w="23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Hukuki İşlem</w:t>
            </w:r>
          </w:p>
        </w:tc>
        <w:tc>
          <w:tcPr>
            <w:tcW w:type="dxa" w:w="5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Ad-soyad, T.C. kimlik numarası, adres, iletişim bilgileri, talep içeriği ve yanıt kayıtları</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4. Özel Nitelikli Kişisel Veriler</w:t>
      </w:r>
    </w:p>
    <w:p>
      <w:pPr>
        <w:spacing w:after="100" w:before="0" w:line="264"/>
        <w:jc w:val="both"/>
      </w:pPr>
      <w:r>
        <w:rPr>
          <w:rFonts w:ascii="Calibri" w:cs="Calibri" w:eastAsia="Calibri" w:hAnsi="Calibri"/>
          <w:b w:val="false"/>
          <w:bCs w:val="false"/>
          <w:i w:val="false"/>
          <w:iCs w:val="false"/>
          <w:color w:val="1A1A1A"/>
          <w:sz w:val="20"/>
          <w:szCs w:val="20"/>
        </w:rPr>
        <w:t xml:space="preserve">Şirketimiz, internet sitesi ve iletişim kanalları üzerinden kural olarak Kanun’un 6’ncı maddesinde tanımlanan özel nitelikli kişisel verileri toplamayı amaçlamamaktadır.</w:t>
      </w:r>
    </w:p>
    <w:tbl>
      <w:tblPr>
        <w:tblW w:type="dxa" w:w="9638"/>
        <w:tblBorders>
          <w:top w:val="single" w:color="1F6FB2" w:sz="4"/>
          <w:left w:val="single" w:color="1F6FB2" w:sz="24"/>
          <w:bottom w:val="single" w:color="1F6FB2" w:sz="4"/>
          <w:right w:val="single" w:color="1F6FB2" w:sz="4"/>
          <w:insideH w:val="none"/>
          <w:insideV w:val="none"/>
        </w:tblBorders>
      </w:tblPr>
      <w:tblGrid>
        <w:gridCol w:w="9638"/>
      </w:tblGrid>
      <w:tr>
        <w:tc>
          <w:tcPr>
            <w:tcW w:type="dxa" w:w="9638"/>
            <w:shd w:fill="EDF2F7" w:color="auto" w:val="clear"/>
            <w:tcMar>
              <w:top w:type="dxa" w:w="120"/>
              <w:left w:type="dxa" w:w="180"/>
              <w:bottom w:type="dxa" w:w="120"/>
              <w:right w:type="dxa" w:w="160"/>
            </w:tcMar>
          </w:tcPr>
          <w:p>
            <w:pPr>
              <w:spacing w:after="60" w:before="60"/>
            </w:pPr>
            <w:r>
              <w:rPr>
                <w:rFonts w:ascii="Calibri" w:cs="Calibri" w:eastAsia="Calibri" w:hAnsi="Calibri"/>
                <w:b/>
                <w:bCs/>
                <w:color w:val="13314F"/>
                <w:sz w:val="20"/>
                <w:szCs w:val="20"/>
              </w:rPr>
              <w:t xml:space="preserve">Özel Nitelikli Kişisel Veriler Hakkında Uyarı</w:t>
            </w:r>
          </w:p>
          <w:p>
            <w:pPr>
              <w:spacing w:after="60" w:line="264"/>
              <w:jc w:val="both"/>
            </w:pPr>
            <w:r>
              <w:rPr>
                <w:rFonts w:ascii="Calibri" w:cs="Calibri" w:eastAsia="Calibri" w:hAnsi="Calibri"/>
                <w:color w:val="1A1A1A"/>
                <w:sz w:val="19"/>
                <w:szCs w:val="19"/>
              </w:rPr>
              <w:t xml:space="preserve">İletişim formu, mesaj alanı ve e-posta yazışmalarında sağlık durumunuza, tıbbi geçmişinize, tedavi süreçlerinize veya diğer özel nitelikli kişisel verilerinize ilişkin bilgi paylaşılmaması gerekmektedir. Şirketimiz bir sağlık hizmeti sunucusu değil, tıbbi teknoloji geliştiren bir Ar-Ge kuruluşudur; bu kanallar hasta danışmanlığı veya tıbbi değerlendirme amacıyla kullanılamaz.</w:t>
            </w:r>
          </w:p>
          <w:p>
            <w:pPr>
              <w:spacing w:after="60" w:line="264"/>
              <w:jc w:val="both"/>
            </w:pPr>
            <w:r>
              <w:rPr>
                <w:rFonts w:ascii="Calibri" w:cs="Calibri" w:eastAsia="Calibri" w:hAnsi="Calibri"/>
                <w:color w:val="1A1A1A"/>
                <w:sz w:val="19"/>
                <w:szCs w:val="19"/>
              </w:rPr>
              <w:t xml:space="preserve">İş başvurusu kapsamında ilettiğiniz özgeçmiş belgesinde sağlık bilgisi, ceza mahkûmiyeti bilgisi, dernek/vakıf/sendika üyeliği, din veya felsefi inanç bilgisi ile biyometrik nitelikte fotoğraf gibi özel nitelikli kişisel verilere yer verilmemesi gerekmektedir. Bu tür verilerin tarafımıza iletilmesi hâlinde, ilgili veriler işleme amacı bakımından gerekli olmadığından değerlendirmeye alınmaz ve mevzuata uygun şekilde imha edilir.</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5. Kişisel Verilerin İşlenme Amaçları</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aşağıdaki amaçlarla işlenmektedir:</w:t>
      </w:r>
    </w:p>
    <w:p>
      <w:pPr>
        <w:pStyle w:val="ListParagraph"/>
        <w:numPr>
          <w:ilvl w:val="0"/>
          <w:numId w:val="2"/>
        </w:numPr>
        <w:spacing w:after="60" w:line="264"/>
        <w:jc w:val="both"/>
      </w:pPr>
      <w:r>
        <w:rPr>
          <w:rFonts w:ascii="Calibri" w:cs="Calibri" w:eastAsia="Calibri" w:hAnsi="Calibri"/>
          <w:color w:val="1A1A1A"/>
          <w:sz w:val="20"/>
          <w:szCs w:val="20"/>
        </w:rPr>
        <w:t xml:space="preserve">İnternet sitesinin sunulması, güvenliğinin sağlanması ve teknik sorunların giderilmesi,</w:t>
      </w:r>
    </w:p>
    <w:p>
      <w:pPr>
        <w:pStyle w:val="ListParagraph"/>
        <w:numPr>
          <w:ilvl w:val="0"/>
          <w:numId w:val="2"/>
        </w:numPr>
        <w:spacing w:after="60" w:line="264"/>
        <w:jc w:val="both"/>
      </w:pPr>
      <w:r>
        <w:rPr>
          <w:rFonts w:ascii="Calibri" w:cs="Calibri" w:eastAsia="Calibri" w:hAnsi="Calibri"/>
          <w:color w:val="1A1A1A"/>
          <w:sz w:val="20"/>
          <w:szCs w:val="20"/>
        </w:rPr>
        <w:t xml:space="preserve">İnternet sitesi kullanım istatistiklerinin oluşturulması ve içerik performansının ölçülmesi,</w:t>
      </w:r>
    </w:p>
    <w:p>
      <w:pPr>
        <w:pStyle w:val="ListParagraph"/>
        <w:numPr>
          <w:ilvl w:val="0"/>
          <w:numId w:val="2"/>
        </w:numPr>
        <w:spacing w:after="60" w:line="264"/>
        <w:jc w:val="both"/>
      </w:pPr>
      <w:r>
        <w:rPr>
          <w:rFonts w:ascii="Calibri" w:cs="Calibri" w:eastAsia="Calibri" w:hAnsi="Calibri"/>
          <w:color w:val="1A1A1A"/>
          <w:sz w:val="20"/>
          <w:szCs w:val="20"/>
        </w:rPr>
        <w:t xml:space="preserve">İletişim, bilgi ve demo taleplerinin alınması, değerlendirilmesi ve yanıtlanması,</w:t>
      </w:r>
    </w:p>
    <w:p>
      <w:pPr>
        <w:pStyle w:val="ListParagraph"/>
        <w:numPr>
          <w:ilvl w:val="0"/>
          <w:numId w:val="2"/>
        </w:numPr>
        <w:spacing w:after="60" w:line="264"/>
        <w:jc w:val="both"/>
      </w:pPr>
      <w:r>
        <w:rPr>
          <w:rFonts w:ascii="Calibri" w:cs="Calibri" w:eastAsia="Calibri" w:hAnsi="Calibri"/>
          <w:color w:val="1A1A1A"/>
          <w:sz w:val="20"/>
          <w:szCs w:val="20"/>
        </w:rPr>
        <w:t xml:space="preserve">İş birliği, proje ve ürün taleplerinin değerlendirilmesi; sözleşme öncesi görüşmelerin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İş başvurularının alınması, değerlendirilmesi ve işe alım süreçlerinin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Açık rıza bulunması hâlinde başvuruların ileride oluşabilecek pozisyonlar için aday havuzunda saklanması,</w:t>
      </w:r>
    </w:p>
    <w:p>
      <w:pPr>
        <w:pStyle w:val="ListParagraph"/>
        <w:numPr>
          <w:ilvl w:val="0"/>
          <w:numId w:val="2"/>
        </w:numPr>
        <w:spacing w:after="60" w:line="264"/>
        <w:jc w:val="both"/>
      </w:pPr>
      <w:r>
        <w:rPr>
          <w:rFonts w:ascii="Calibri" w:cs="Calibri" w:eastAsia="Calibri" w:hAnsi="Calibri"/>
          <w:color w:val="1A1A1A"/>
          <w:sz w:val="20"/>
          <w:szCs w:val="20"/>
        </w:rPr>
        <w:t xml:space="preserve">Mal ve hizmet satın alım ve satış süreçlerinin, tedarik zinciri ve sözleşme süreçlerinin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Ar-Ge, klinik doğrulama ve akademik iş birliği faaliyetlerinin planlanması ve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Fikri ve sınai hak süreçlerinin (patent başvuru ve takip işlemleri)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Açık rıza bulunması hâlinde ticari elektronik ileti gönderilmesi ve tanıtım faaliyetlerinin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Finans, muhasebe ve faturalandırma işlemlerinin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Bilgi güvenliği süreçlerinin, denetim ve etik faaliyetlerinin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Yetkili kamu kurum ve kuruluşlarına mevzuattan kaynaklanan bilgi verilmesi,</w:t>
      </w:r>
    </w:p>
    <w:p>
      <w:pPr>
        <w:pStyle w:val="ListParagraph"/>
        <w:numPr>
          <w:ilvl w:val="0"/>
          <w:numId w:val="2"/>
        </w:numPr>
        <w:spacing w:after="60" w:line="264"/>
        <w:jc w:val="both"/>
      </w:pPr>
      <w:r>
        <w:rPr>
          <w:rFonts w:ascii="Calibri" w:cs="Calibri" w:eastAsia="Calibri" w:hAnsi="Calibri"/>
          <w:color w:val="1A1A1A"/>
          <w:sz w:val="20"/>
          <w:szCs w:val="20"/>
        </w:rPr>
        <w:t xml:space="preserve">Hukuk işlerinin takibi, talep ve şikâyetlerin yönetilmesi ile hukuki taleplerin tesisi, kullanılması veya korunması.</w:t>
      </w:r>
    </w:p>
    <w:p>
      <w:pPr>
        <w:pStyle w:val="Heading1"/>
        <w:pBdr>
          <w:bottom w:val="single" w:color="C9D6E2" w:sz="8" w:space="6"/>
        </w:pBdr>
        <w:spacing w:after="160" w:before="320"/>
      </w:pPr>
      <w:r>
        <w:rPr>
          <w:rFonts w:ascii="Calibri" w:cs="Calibri" w:eastAsia="Calibri" w:hAnsi="Calibri"/>
          <w:b/>
          <w:bCs/>
          <w:color w:val="13314F"/>
          <w:sz w:val="24"/>
          <w:szCs w:val="24"/>
        </w:rPr>
        <w:t xml:space="preserve">6. Kişisel Verilerin İşlenmesinin Hukuki Sebepleri</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Kanun’un 5’inci maddesinde düzenlenen aşağıdaki hukuki sebeplere dayanılarak işlenmektedir: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4300"/>
        <w:gridCol w:w="5338"/>
      </w:tblGrid>
      <w:tr>
        <w:trPr>
          <w:tblHeader/>
        </w:trPr>
        <w:tc>
          <w:tcPr>
            <w:tcW w:type="dxa" w:w="43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İşleme Faaliyeti</w:t>
            </w:r>
          </w:p>
        </w:tc>
        <w:tc>
          <w:tcPr>
            <w:tcW w:type="dxa" w:w="53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Hukuki Sebep (KVKK m. 5)</w:t>
            </w:r>
          </w:p>
        </w:tc>
      </w:tr>
      <w:tr>
        <w:tc>
          <w:tcPr>
            <w:tcW w:type="dxa" w:w="4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İnternet sitesi trafik ve güvenlik kayıtlarının tutulması</w:t>
            </w:r>
          </w:p>
        </w:tc>
        <w:tc>
          <w:tcPr>
            <w:tcW w:type="dxa" w:w="5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5/2-a — Kanunlarda açıkça öngörülmesi (5651 sayılı Kanun) ve m. 5/2-f — Veri sorumlusunun meşru menfaati</w:t>
            </w:r>
          </w:p>
        </w:tc>
      </w:tr>
      <w:tr>
        <w:tc>
          <w:tcPr>
            <w:tcW w:type="dxa" w:w="4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 olmayan analitik ölçüm ve performans izleme</w:t>
            </w:r>
          </w:p>
        </w:tc>
        <w:tc>
          <w:tcPr>
            <w:tcW w:type="dxa" w:w="5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5/1 — Açık rıza</w:t>
            </w:r>
          </w:p>
        </w:tc>
      </w:tr>
      <w:tr>
        <w:tc>
          <w:tcPr>
            <w:tcW w:type="dxa" w:w="4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İletişim ve bilgi taleplerinin yanıtlanması</w:t>
            </w:r>
          </w:p>
        </w:tc>
        <w:tc>
          <w:tcPr>
            <w:tcW w:type="dxa" w:w="5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5/2-c — Sözleşmenin kurulması veya ifasıyla doğrudan doğruya ilgili olma; m. 5/2-f — Meşru menfaat</w:t>
            </w:r>
          </w:p>
        </w:tc>
      </w:tr>
      <w:tr>
        <w:tc>
          <w:tcPr>
            <w:tcW w:type="dxa" w:w="4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 başvurusunun değerlendirilmesi</w:t>
            </w:r>
          </w:p>
        </w:tc>
        <w:tc>
          <w:tcPr>
            <w:tcW w:type="dxa" w:w="5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5/2-c — Sözleşmenin kurulmasıyla doğrudan doğruya ilgili olma</w:t>
            </w:r>
          </w:p>
        </w:tc>
      </w:tr>
      <w:tr>
        <w:tc>
          <w:tcPr>
            <w:tcW w:type="dxa" w:w="4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Başvurunun aday havuzunda saklanması</w:t>
            </w:r>
          </w:p>
        </w:tc>
        <w:tc>
          <w:tcPr>
            <w:tcW w:type="dxa" w:w="5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5/1 — Açık rıza</w:t>
            </w:r>
          </w:p>
        </w:tc>
      </w:tr>
      <w:tr>
        <w:tc>
          <w:tcPr>
            <w:tcW w:type="dxa" w:w="4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Sözleşme, tedarik ve iş ortaklığı süreçleri</w:t>
            </w:r>
          </w:p>
        </w:tc>
        <w:tc>
          <w:tcPr>
            <w:tcW w:type="dxa" w:w="5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5/2-c — Sözleşmenin kurulması veya ifası</w:t>
            </w:r>
          </w:p>
        </w:tc>
      </w:tr>
      <w:tr>
        <w:tc>
          <w:tcPr>
            <w:tcW w:type="dxa" w:w="4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Muhasebe, vergi ve ticari defter yükümlülükleri</w:t>
            </w:r>
          </w:p>
        </w:tc>
        <w:tc>
          <w:tcPr>
            <w:tcW w:type="dxa" w:w="5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5/2-a — Kanunlarda açıkça öngörülmesi (VUK, TTK)</w:t>
            </w:r>
          </w:p>
        </w:tc>
      </w:tr>
      <w:tr>
        <w:tc>
          <w:tcPr>
            <w:tcW w:type="dxa" w:w="4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Ticari elektronik ileti gönderimi</w:t>
            </w:r>
          </w:p>
        </w:tc>
        <w:tc>
          <w:tcPr>
            <w:tcW w:type="dxa" w:w="5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5/1 — Açık rıza (6563 sayılı Kanun kapsamındaki onay ile birlikte)</w:t>
            </w:r>
          </w:p>
        </w:tc>
      </w:tr>
      <w:tr>
        <w:tc>
          <w:tcPr>
            <w:tcW w:type="dxa" w:w="4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Bilgi güvenliği ve denetim faaliyetleri</w:t>
            </w:r>
          </w:p>
        </w:tc>
        <w:tc>
          <w:tcPr>
            <w:tcW w:type="dxa" w:w="5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5/2-f — Meşru menfaat</w:t>
            </w:r>
          </w:p>
        </w:tc>
      </w:tr>
      <w:tr>
        <w:tc>
          <w:tcPr>
            <w:tcW w:type="dxa" w:w="4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Hukuki uyuşmazlıkların takibi ve savunma hakkının kullanılması</w:t>
            </w:r>
          </w:p>
        </w:tc>
        <w:tc>
          <w:tcPr>
            <w:tcW w:type="dxa" w:w="5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5/2-e — Bir hakkın tesisi, kullanılması veya korunması</w:t>
            </w:r>
          </w:p>
        </w:tc>
      </w:tr>
      <w:tr>
        <w:tc>
          <w:tcPr>
            <w:tcW w:type="dxa" w:w="4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Veri sahibi başvurularının yanıtlanması</w:t>
            </w:r>
          </w:p>
        </w:tc>
        <w:tc>
          <w:tcPr>
            <w:tcW w:type="dxa" w:w="5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5/2-ç — Veri sorumlusunun hukuki yükümlülüğünü yerine getirmesi</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7. Kişisel Verilerin Toplanma Yöntemi</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internet sitemizdeki iletişim ve kariyer formları, elektronik posta, telefon, sosyal medya hesapları, fiziki ve elektronik ortamda imzalanan sözleşme ve belgeler, kurumsal etkinlik ve fuar kayıtları, kartvizit paylaşımı ile üniversite, klinik ve iş ortağı kurumlar aracılığıyla; kısmen veya tamamen otomatik yollarla ya da veri kayıt sisteminin parçası olmak kaydıyla otomatik olmayan yollarla toplanmaktadır.</w:t>
      </w:r>
    </w:p>
    <w:p>
      <w:pPr>
        <w:pStyle w:val="Heading1"/>
        <w:pBdr>
          <w:bottom w:val="single" w:color="C9D6E2" w:sz="8" w:space="6"/>
        </w:pBdr>
        <w:spacing w:after="160" w:before="320"/>
      </w:pPr>
      <w:r>
        <w:rPr>
          <w:rFonts w:ascii="Calibri" w:cs="Calibri" w:eastAsia="Calibri" w:hAnsi="Calibri"/>
          <w:b/>
          <w:bCs/>
          <w:color w:val="13314F"/>
          <w:sz w:val="24"/>
          <w:szCs w:val="24"/>
        </w:rPr>
        <w:t xml:space="preserve">8. Kişisel Verilerin Aktarılması</w:t>
      </w:r>
    </w:p>
    <w:p>
      <w:pPr>
        <w:pStyle w:val="Heading2"/>
        <w:spacing w:after="100" w:before="240"/>
      </w:pPr>
      <w:r>
        <w:rPr>
          <w:rFonts w:ascii="Calibri" w:cs="Calibri" w:eastAsia="Calibri" w:hAnsi="Calibri"/>
          <w:b/>
          <w:bCs/>
          <w:color w:val="1F6FB2"/>
          <w:sz w:val="21"/>
          <w:szCs w:val="21"/>
        </w:rPr>
        <w:t xml:space="preserve">8.1. Yurt İçi Aktarım</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Kanun’un 8’inci maddesinde düzenlenen şartlar çerçevesinde ve işleme amaçlarıyla sınırlı olarak aşağıdaki alıcı gruplarına aktarılabilmektedir:</w:t>
      </w:r>
    </w:p>
    <w:p>
      <w:pPr>
        <w:pStyle w:val="ListParagraph"/>
        <w:numPr>
          <w:ilvl w:val="0"/>
          <w:numId w:val="2"/>
        </w:numPr>
        <w:spacing w:after="60" w:line="264"/>
        <w:jc w:val="both"/>
      </w:pPr>
      <w:r>
        <w:rPr>
          <w:rFonts w:ascii="Calibri" w:cs="Calibri" w:eastAsia="Calibri" w:hAnsi="Calibri"/>
          <w:color w:val="1A1A1A"/>
          <w:sz w:val="20"/>
          <w:szCs w:val="20"/>
        </w:rPr>
        <w:t xml:space="preserve">Yetkili kamu kurum ve kuruluşları ile yargı mercileri (mevzuattan kaynaklanan talep ve yükümlülükler kapsamında),</w:t>
      </w:r>
    </w:p>
    <w:p>
      <w:pPr>
        <w:pStyle w:val="ListParagraph"/>
        <w:numPr>
          <w:ilvl w:val="0"/>
          <w:numId w:val="2"/>
        </w:numPr>
        <w:spacing w:after="60" w:line="264"/>
        <w:jc w:val="both"/>
      </w:pPr>
      <w:r>
        <w:rPr>
          <w:rFonts w:ascii="Calibri" w:cs="Calibri" w:eastAsia="Calibri" w:hAnsi="Calibri"/>
          <w:color w:val="1A1A1A"/>
          <w:sz w:val="20"/>
          <w:szCs w:val="20"/>
        </w:rPr>
        <w:t xml:space="preserve">Bilgi teknolojileri hizmet sağlayıcıları (barındırma, elektronik posta, bulut, bakım ve destek hizmetleri),</w:t>
      </w:r>
    </w:p>
    <w:p>
      <w:pPr>
        <w:pStyle w:val="ListParagraph"/>
        <w:numPr>
          <w:ilvl w:val="0"/>
          <w:numId w:val="2"/>
        </w:numPr>
        <w:spacing w:after="60" w:line="264"/>
        <w:jc w:val="both"/>
      </w:pPr>
      <w:r>
        <w:rPr>
          <w:rFonts w:ascii="Calibri" w:cs="Calibri" w:eastAsia="Calibri" w:hAnsi="Calibri"/>
          <w:color w:val="1A1A1A"/>
          <w:sz w:val="20"/>
          <w:szCs w:val="20"/>
        </w:rPr>
        <w:t xml:space="preserve">Hukuk, mali müşavirlik, bağımsız denetim ve danışmanlık hizmeti alınan gerçek ve tüzel kişiler,</w:t>
      </w:r>
    </w:p>
    <w:p>
      <w:pPr>
        <w:pStyle w:val="ListParagraph"/>
        <w:numPr>
          <w:ilvl w:val="0"/>
          <w:numId w:val="2"/>
        </w:numPr>
        <w:spacing w:after="60" w:line="264"/>
        <w:jc w:val="both"/>
      </w:pPr>
      <w:r>
        <w:rPr>
          <w:rFonts w:ascii="Calibri" w:cs="Calibri" w:eastAsia="Calibri" w:hAnsi="Calibri"/>
          <w:color w:val="1A1A1A"/>
          <w:sz w:val="20"/>
          <w:szCs w:val="20"/>
        </w:rPr>
        <w:t xml:space="preserve">Patent ve marka vekilleri ile fikri mülkiyet danışmanları,</w:t>
      </w:r>
    </w:p>
    <w:p>
      <w:pPr>
        <w:pStyle w:val="ListParagraph"/>
        <w:numPr>
          <w:ilvl w:val="0"/>
          <w:numId w:val="2"/>
        </w:numPr>
        <w:spacing w:after="60" w:line="264"/>
        <w:jc w:val="both"/>
      </w:pPr>
      <w:r>
        <w:rPr>
          <w:rFonts w:ascii="Calibri" w:cs="Calibri" w:eastAsia="Calibri" w:hAnsi="Calibri"/>
          <w:color w:val="1A1A1A"/>
          <w:sz w:val="20"/>
          <w:szCs w:val="20"/>
        </w:rPr>
        <w:t xml:space="preserve">Ar-Ge ve klinik doğrulama süreçlerinde birlikte çalışılan üniversite, hastane ve araştırma kuruluşları (yalnızca ilgili proje kapsamında ve gerekli olduğu ölçüde),</w:t>
      </w:r>
    </w:p>
    <w:p>
      <w:pPr>
        <w:pStyle w:val="ListParagraph"/>
        <w:numPr>
          <w:ilvl w:val="0"/>
          <w:numId w:val="2"/>
        </w:numPr>
        <w:spacing w:after="60" w:line="264"/>
        <w:jc w:val="both"/>
      </w:pPr>
      <w:r>
        <w:rPr>
          <w:rFonts w:ascii="Calibri" w:cs="Calibri" w:eastAsia="Calibri" w:hAnsi="Calibri"/>
          <w:color w:val="1A1A1A"/>
          <w:sz w:val="20"/>
          <w:szCs w:val="20"/>
        </w:rPr>
        <w:t xml:space="preserve">İş ortakları, tedarikçiler ve lojistik hizmet sağlayıcıları.</w:t>
      </w:r>
    </w:p>
    <w:p>
      <w:pPr>
        <w:pStyle w:val="Heading2"/>
        <w:spacing w:after="100" w:before="240"/>
      </w:pPr>
      <w:r>
        <w:rPr>
          <w:rFonts w:ascii="Calibri" w:cs="Calibri" w:eastAsia="Calibri" w:hAnsi="Calibri"/>
          <w:b/>
          <w:bCs/>
          <w:color w:val="1F6FB2"/>
          <w:sz w:val="21"/>
          <w:szCs w:val="21"/>
        </w:rPr>
        <w:t xml:space="preserve">8.2. Yurt Dışı Aktarım</w:t>
      </w:r>
    </w:p>
    <w:p>
      <w:pPr>
        <w:spacing w:after="100" w:before="0" w:line="264"/>
        <w:jc w:val="both"/>
      </w:pPr>
      <w:r>
        <w:rPr>
          <w:rFonts w:ascii="Calibri" w:cs="Calibri" w:eastAsia="Calibri" w:hAnsi="Calibri"/>
          <w:b w:val="false"/>
          <w:bCs w:val="false"/>
          <w:i w:val="false"/>
          <w:iCs w:val="false"/>
          <w:color w:val="1A1A1A"/>
          <w:sz w:val="20"/>
          <w:szCs w:val="20"/>
        </w:rPr>
        <w:t xml:space="preserve">Şirketimizin kullandığı bilgi teknolojileri altyapısının bir bölümünün yurt dışında konumlanması hâlinde kişisel verileriniz yurt dışına aktarılabilir. Bu durumda aktarım, Kanun’un 9’uncu maddesi uyarınca; Kişisel Verileri Koruma Kurulunca ilan edilen yeterlilik kararının bulunması, yeterlilik kararının bulunmaması hâlinde ise standart sözleşme, bağlayıcı şirket kuralları, taahhütname veya uluslararası sözleşme gibi uygun güvencelerden birinin sağlanması koşuluyla gerçekleştirilir. Standart sözleşmeye dayanılan hâllerde, imza tarihinden itibaren beş iş günü içinde Kuruma bildirim yapılır.</w:t>
      </w:r>
    </w:p>
    <w:p>
      <w:pPr>
        <w:pStyle w:val="Heading1"/>
        <w:pBdr>
          <w:bottom w:val="single" w:color="C9D6E2" w:sz="8" w:space="6"/>
        </w:pBdr>
        <w:spacing w:after="160" w:before="320"/>
      </w:pPr>
      <w:r>
        <w:rPr>
          <w:rFonts w:ascii="Calibri" w:cs="Calibri" w:eastAsia="Calibri" w:hAnsi="Calibri"/>
          <w:b/>
          <w:bCs/>
          <w:color w:val="13314F"/>
          <w:sz w:val="24"/>
          <w:szCs w:val="24"/>
        </w:rPr>
        <w:t xml:space="preserve">9. Kişisel Verilerin Saklanma Süreleri</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işlendikleri amaç için gerekli olan süre ve ilgili mevzuatta öngörülen asgari süreler boyunca saklanır. Saklama süresinin sona ermesi hâlinde veriler, Kişisel Veri Saklama ve İmha Politikası uyarınca silinir, yok edilir veya anonim hâle getirilir.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300"/>
        <w:gridCol w:w="3538"/>
        <w:gridCol w:w="2800"/>
      </w:tblGrid>
      <w:tr>
        <w:trPr>
          <w:tblHeader/>
        </w:trPr>
        <w:tc>
          <w:tcPr>
            <w:tcW w:type="dxa" w:w="33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Veri / Süreç</w:t>
            </w:r>
          </w:p>
        </w:tc>
        <w:tc>
          <w:tcPr>
            <w:tcW w:type="dxa" w:w="35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Saklama Süresi</w:t>
            </w:r>
          </w:p>
        </w:tc>
        <w:tc>
          <w:tcPr>
            <w:tcW w:type="dxa" w:w="28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Dayanak</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İnternet trafik ve erişim kayıtları</w:t>
            </w:r>
          </w:p>
        </w:tc>
        <w:tc>
          <w:tcPr>
            <w:tcW w:type="dxa" w:w="3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İlgili mevzuatta öngörülen süre (asgari 1 yıl)</w:t>
            </w:r>
          </w:p>
        </w:tc>
        <w:tc>
          <w:tcPr>
            <w:tcW w:type="dxa" w:w="2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5651 sayılı Kanun ve ikincil mevzuat</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Analitik ölçüm kayıtları</w:t>
            </w:r>
          </w:p>
        </w:tc>
        <w:tc>
          <w:tcPr>
            <w:tcW w:type="dxa" w:w="3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Açık rıza geri alınana kadar; her hâlükârda en fazla 14 ay</w:t>
            </w:r>
          </w:p>
        </w:tc>
        <w:tc>
          <w:tcPr>
            <w:tcW w:type="dxa" w:w="28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Açık rıza / veri minimizasyonu</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İletişim formu kayıtları</w:t>
            </w:r>
          </w:p>
        </w:tc>
        <w:tc>
          <w:tcPr>
            <w:tcW w:type="dxa" w:w="3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Talebin sonuçlanmasından itibaren 2 yıl</w:t>
            </w:r>
          </w:p>
        </w:tc>
        <w:tc>
          <w:tcPr>
            <w:tcW w:type="dxa" w:w="2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Meşru menfaat / iş süreçleri</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 başvurusu ve özgeçmiş belgeleri</w:t>
            </w:r>
          </w:p>
        </w:tc>
        <w:tc>
          <w:tcPr>
            <w:tcW w:type="dxa" w:w="3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Başvurunun sonuçlanmasından itibaren 1 yıl</w:t>
            </w:r>
          </w:p>
        </w:tc>
        <w:tc>
          <w:tcPr>
            <w:tcW w:type="dxa" w:w="28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İşe alım sürecinin tamamlanması</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Aday havuzu kayıtları</w:t>
            </w:r>
          </w:p>
        </w:tc>
        <w:tc>
          <w:tcPr>
            <w:tcW w:type="dxa" w:w="3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Açık rıza tarihinden itibaren en fazla 2 yıl</w:t>
            </w:r>
          </w:p>
        </w:tc>
        <w:tc>
          <w:tcPr>
            <w:tcW w:type="dxa" w:w="2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Açık rıza</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Sözleşmeye ilişkin kayıtlar</w:t>
            </w:r>
          </w:p>
        </w:tc>
        <w:tc>
          <w:tcPr>
            <w:tcW w:type="dxa" w:w="3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Sözleşme ilişkisinin sona ermesinden itibaren 10 yıl</w:t>
            </w:r>
          </w:p>
        </w:tc>
        <w:tc>
          <w:tcPr>
            <w:tcW w:type="dxa" w:w="28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TBK m. 146 (genel zamanaşımı)</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Ticari defter ve belgeler</w:t>
            </w:r>
          </w:p>
        </w:tc>
        <w:tc>
          <w:tcPr>
            <w:tcW w:type="dxa" w:w="3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10 yıl</w:t>
            </w:r>
          </w:p>
        </w:tc>
        <w:tc>
          <w:tcPr>
            <w:tcW w:type="dxa" w:w="2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TTK m. 82</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Vergisel kayıt ve belgeler</w:t>
            </w:r>
          </w:p>
        </w:tc>
        <w:tc>
          <w:tcPr>
            <w:tcW w:type="dxa" w:w="3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5 yıl</w:t>
            </w:r>
          </w:p>
        </w:tc>
        <w:tc>
          <w:tcPr>
            <w:tcW w:type="dxa" w:w="28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VUK m. 253</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Ticari elektronik ileti onay kayıtları</w:t>
            </w:r>
          </w:p>
        </w:tc>
        <w:tc>
          <w:tcPr>
            <w:tcW w:type="dxa" w:w="3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Onayın geçerliliğinin sona erdiği tarihten itibaren 1 yıl</w:t>
            </w:r>
          </w:p>
        </w:tc>
        <w:tc>
          <w:tcPr>
            <w:tcW w:type="dxa" w:w="2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Ticari İletişim ve Ticari Elektronik İletiler Hakkında Yönetmelik</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Ticari elektronik iletiye ilişkin diğer kayıtlar</w:t>
            </w:r>
          </w:p>
        </w:tc>
        <w:tc>
          <w:tcPr>
            <w:tcW w:type="dxa" w:w="3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3 yıl</w:t>
            </w:r>
          </w:p>
        </w:tc>
        <w:tc>
          <w:tcPr>
            <w:tcW w:type="dxa" w:w="28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Ticari İletişim ve Ticari Elektronik İletiler Hakkında Yönetmelik</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Veri sahibi başvuru ve yanıt kayıtları</w:t>
            </w:r>
          </w:p>
        </w:tc>
        <w:tc>
          <w:tcPr>
            <w:tcW w:type="dxa" w:w="3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Başvurunun sonuçlandırılmasından itibaren 3 yıl</w:t>
            </w:r>
          </w:p>
        </w:tc>
        <w:tc>
          <w:tcPr>
            <w:tcW w:type="dxa" w:w="2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Hukuki yükümlülük ve ispat</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10. İlgili Kişinin Hakları</w:t>
      </w:r>
    </w:p>
    <w:p>
      <w:pPr>
        <w:spacing w:after="100" w:before="0" w:line="264"/>
        <w:jc w:val="both"/>
      </w:pPr>
      <w:r>
        <w:rPr>
          <w:rFonts w:ascii="Calibri" w:cs="Calibri" w:eastAsia="Calibri" w:hAnsi="Calibri"/>
          <w:b w:val="false"/>
          <w:bCs w:val="false"/>
          <w:i w:val="false"/>
          <w:iCs w:val="false"/>
          <w:color w:val="1A1A1A"/>
          <w:sz w:val="20"/>
          <w:szCs w:val="20"/>
        </w:rPr>
        <w:t xml:space="preserve">Kanun’un 11’inci maddesi uyarınca şirketimize başvurarak aşağıdaki haklarınızı kullanabilirsiniz:</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işlenip işlenmediğini öğrenme,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 işlenmişse buna ilişkin bilgi talep etme,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işlenme amacını ve bunların amacına uygun kullanılıp kullanılmadığını öğrenme,</w:t>
      </w:r>
    </w:p>
    <w:p>
      <w:pPr>
        <w:pStyle w:val="ListParagraph"/>
        <w:numPr>
          <w:ilvl w:val="0"/>
          <w:numId w:val="2"/>
        </w:numPr>
        <w:spacing w:after="60" w:line="264"/>
        <w:jc w:val="both"/>
      </w:pPr>
      <w:r>
        <w:rPr>
          <w:rFonts w:ascii="Calibri" w:cs="Calibri" w:eastAsia="Calibri" w:hAnsi="Calibri"/>
          <w:color w:val="1A1A1A"/>
          <w:sz w:val="20"/>
          <w:szCs w:val="20"/>
        </w:rPr>
        <w:t xml:space="preserve">Yurt içinde veya yurt dışında kişisel verilerinin aktarıldığı üçüncü kişileri bilme,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eksik veya yanlış işlenmiş olması hâlinde bunların düzeltilmesini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Kanun’un 7’nci maddesinde öngörülen şartlar çerçevesinde kişisel verilerinin silinmesini veya yok edilmesini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Düzeltme, silme ve yok etme işlemlerinin kişisel verilerin aktarıldığı üçüncü kişilere bildirilmesini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İşlenen verilerin münhasıran otomatik sistemler vasıtasıyla analiz edilmesi suretiyle kişinin kendisi aleyhine bir sonucun ortaya çıkmasına itiraz etme,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kanuna aykırı olarak işlenmesi sebebiyle zarara uğraması hâlinde zararın giderilmesini talep etme.</w:t>
      </w:r>
    </w:p>
    <w:p>
      <w:pPr>
        <w:pStyle w:val="Heading1"/>
        <w:pBdr>
          <w:bottom w:val="single" w:color="C9D6E2" w:sz="8" w:space="6"/>
        </w:pBdr>
        <w:spacing w:after="160" w:before="320"/>
      </w:pPr>
      <w:r>
        <w:rPr>
          <w:rFonts w:ascii="Calibri" w:cs="Calibri" w:eastAsia="Calibri" w:hAnsi="Calibri"/>
          <w:b/>
          <w:bCs/>
          <w:color w:val="13314F"/>
          <w:sz w:val="24"/>
          <w:szCs w:val="24"/>
        </w:rPr>
        <w:t xml:space="preserve">11. Başvuru Usulü</w:t>
      </w:r>
    </w:p>
    <w:p>
      <w:pPr>
        <w:spacing w:after="100" w:before="0" w:line="264"/>
        <w:jc w:val="both"/>
      </w:pPr>
      <w:r>
        <w:rPr>
          <w:rFonts w:ascii="Calibri" w:cs="Calibri" w:eastAsia="Calibri" w:hAnsi="Calibri"/>
          <w:b w:val="false"/>
          <w:bCs w:val="false"/>
          <w:i w:val="false"/>
          <w:iCs w:val="false"/>
          <w:color w:val="1A1A1A"/>
          <w:sz w:val="20"/>
          <w:szCs w:val="20"/>
        </w:rPr>
        <w:t xml:space="preserve">İlgili kişi, yukarıda sayılan haklarına ilişkin taleplerini, Veri Sorumlusuna Başvuru Usul ve Esasları Hakkında Tebliğ’de öngörülen usullere uygun olarak aşağıdaki yollarla iletir:</w:t>
      </w:r>
    </w:p>
    <w:p>
      <w:pPr>
        <w:pStyle w:val="ListParagraph"/>
        <w:numPr>
          <w:ilvl w:val="0"/>
          <w:numId w:val="2"/>
        </w:numPr>
        <w:spacing w:after="60" w:line="264"/>
        <w:jc w:val="both"/>
      </w:pPr>
      <w:r>
        <w:rPr>
          <w:rFonts w:ascii="Calibri" w:cs="Calibri" w:eastAsia="Calibri" w:hAnsi="Calibri"/>
          <w:color w:val="1A1A1A"/>
          <w:sz w:val="20"/>
          <w:szCs w:val="20"/>
        </w:rPr>
        <w:t xml:space="preserve">Islak imzalı yazılı başvurunun şahsen veya noter aracılığıyla Üsküdar Üniversitesi Merkez Yerleşkesi D Blok, Altunizade, Haluk Türksoy Sok. No: 8, 34662 Üsküdar / İstanbul adresine iletilmesi; zarfın üzerine “Kişisel Verilerin Korunması Kanunu Kapsamında Bilgi Talebi” ibaresi yazılması,</w:t>
      </w:r>
    </w:p>
    <w:p>
      <w:pPr>
        <w:pStyle w:val="ListParagraph"/>
        <w:numPr>
          <w:ilvl w:val="0"/>
          <w:numId w:val="2"/>
        </w:numPr>
        <w:spacing w:after="60" w:line="264"/>
        <w:jc w:val="both"/>
      </w:pPr>
      <w:r>
        <w:rPr>
          <w:rFonts w:ascii="Calibri" w:cs="Calibri" w:eastAsia="Calibri" w:hAnsi="Calibri"/>
          <w:color w:val="1A1A1A"/>
          <w:sz w:val="20"/>
          <w:szCs w:val="20"/>
        </w:rPr>
        <w:t xml:space="preserve">Güvenli elektronik imza veya mobil imza ile imzalanmış başvurunun ung@hs01.kep.tr kayıtlı elektronik posta adresine gönderilmesi,</w:t>
      </w:r>
    </w:p>
    <w:p>
      <w:pPr>
        <w:pStyle w:val="ListParagraph"/>
        <w:numPr>
          <w:ilvl w:val="0"/>
          <w:numId w:val="2"/>
        </w:numPr>
        <w:spacing w:after="60" w:line="264"/>
        <w:jc w:val="both"/>
      </w:pPr>
      <w:r>
        <w:rPr>
          <w:rFonts w:ascii="Calibri" w:cs="Calibri" w:eastAsia="Calibri" w:hAnsi="Calibri"/>
          <w:color w:val="1A1A1A"/>
          <w:sz w:val="20"/>
          <w:szCs w:val="20"/>
        </w:rPr>
        <w:t xml:space="preserve">Daha önce veri sorumlusuna bildirilen ve sistemde kayıtlı bulunan elektronik posta adresi kullanılarak info@ungmedical.com adresine gönderilmesi; e-posta konusuna “KVKK Bilgi Talebi” yazılması,</w:t>
      </w:r>
    </w:p>
    <w:p>
      <w:pPr>
        <w:spacing w:after="100" w:before="80" w:line="264"/>
        <w:jc w:val="both"/>
      </w:pPr>
      <w:r>
        <w:rPr>
          <w:rFonts w:ascii="Calibri" w:cs="Calibri" w:eastAsia="Calibri" w:hAnsi="Calibri"/>
          <w:b w:val="false"/>
          <w:bCs w:val="false"/>
          <w:i w:val="false"/>
          <w:iCs w:val="false"/>
          <w:color w:val="1A1A1A"/>
          <w:sz w:val="20"/>
          <w:szCs w:val="20"/>
        </w:rPr>
        <w:t xml:space="preserve">Başvurular Türkçe olarak yapılır. Başvuruda; ilgili kişinin adı, soyadı, imzası, T.C. kimlik numarası (yabancılar için uyruğu ve pasaport numarası), tebligata esas adresi, varsa bildirime esas elektronik posta adresi ve telefon numarası ile talep konusu yer alır. Başvuru, kimliği tevsik edici bilgi ve belgelerle desteklenir.</w:t>
      </w:r>
    </w:p>
    <w:p>
      <w:pPr>
        <w:spacing w:after="100" w:before="0" w:line="264"/>
        <w:jc w:val="both"/>
      </w:pPr>
      <w:r>
        <w:rPr>
          <w:rFonts w:ascii="Calibri" w:cs="Calibri" w:eastAsia="Calibri" w:hAnsi="Calibri"/>
          <w:b w:val="false"/>
          <w:bCs w:val="false"/>
          <w:i w:val="false"/>
          <w:iCs w:val="false"/>
          <w:color w:val="1A1A1A"/>
          <w:sz w:val="20"/>
          <w:szCs w:val="20"/>
        </w:rPr>
        <w:t xml:space="preserve">Talepler, niteliğine göre en kısa sürede ve her hâlükârda en geç otuz (30) gün içinde ücretsiz olarak sonuçlandırılır. İşlemin ayrıca bir maliyet gerektirmesi hâlinde Kişisel Verileri Koruma Kurulunca belirlenen tarifedeki ücret alınır.</w:t>
      </w:r>
    </w:p>
    <w:p>
      <w:pPr>
        <w:spacing w:after="100" w:before="0" w:line="264"/>
        <w:jc w:val="both"/>
      </w:pPr>
      <w:r>
        <w:rPr>
          <w:rFonts w:ascii="Calibri" w:cs="Calibri" w:eastAsia="Calibri" w:hAnsi="Calibri"/>
          <w:b w:val="false"/>
          <w:bCs w:val="false"/>
          <w:i w:val="false"/>
          <w:iCs w:val="false"/>
          <w:color w:val="1A1A1A"/>
          <w:sz w:val="20"/>
          <w:szCs w:val="20"/>
        </w:rPr>
        <w:t xml:space="preserve">Başvurunuzun reddedilmesi, verilen yanıtın yetersiz bulunması veya süresinde yanıt verilmemesi hâllerinde; yanıtı öğrendiğiniz tarihten itibaren otuz (30) ve her hâlde başvuru tarihinden itibaren altmış (60) gün içinde Kişisel Verileri Koruma Kuruluna şikâyette bulunma hakkınız bulunmaktadır.</w:t>
      </w:r>
    </w:p>
    <w:p>
      <w:pPr>
        <w:pStyle w:val="Heading1"/>
        <w:pBdr>
          <w:bottom w:val="single" w:color="C9D6E2" w:sz="8" w:space="6"/>
        </w:pBdr>
        <w:spacing w:after="160" w:before="320"/>
      </w:pPr>
      <w:r>
        <w:rPr>
          <w:rFonts w:ascii="Calibri" w:cs="Calibri" w:eastAsia="Calibri" w:hAnsi="Calibri"/>
          <w:b/>
          <w:bCs/>
          <w:color w:val="13314F"/>
          <w:sz w:val="24"/>
          <w:szCs w:val="24"/>
        </w:rPr>
        <w:t xml:space="preserve">12. Aydınlatma Metninin Güncellenmesi</w:t>
      </w:r>
    </w:p>
    <w:p>
      <w:pPr>
        <w:spacing w:after="100" w:before="0" w:line="264"/>
        <w:jc w:val="both"/>
      </w:pPr>
      <w:r>
        <w:rPr>
          <w:rFonts w:ascii="Calibri" w:cs="Calibri" w:eastAsia="Calibri" w:hAnsi="Calibri"/>
          <w:b w:val="false"/>
          <w:bCs w:val="false"/>
          <w:i w:val="false"/>
          <w:iCs w:val="false"/>
          <w:color w:val="1A1A1A"/>
          <w:sz w:val="20"/>
          <w:szCs w:val="20"/>
        </w:rPr>
        <w:t xml:space="preserve">İşbu Aydınlatma Metni, mevzuat değişiklikleri ve şirketimizin veri işleme faaliyetlerindeki değişiklikler doğrultusunda güncellenebilir. Güncel metin her zaman www.ungmedical.com adresinde yayımlanır. Yürürlük tarihi, metnin internet sitesinde yayımlandığı tarihtir.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410"/>
        <w:gridCol w:w="2410"/>
        <w:gridCol w:w="2409"/>
        <w:gridCol w:w="2409"/>
      </w:tblGrid>
      <w:tr>
        <w:trPr>
          <w:tblHeader/>
        </w:trPr>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Doküman Kodu</w:t>
            </w:r>
          </w:p>
        </w:tc>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Yayın Tarihi</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No</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Tarihi</w:t>
            </w:r>
          </w:p>
        </w:tc>
      </w:tr>
      <w:tr>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UNG-KVKK-AM-01</w:t>
            </w:r>
          </w:p>
        </w:tc>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00</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E2" w:sz="6" w:space="4"/>
      </w:pBdr>
      <w:tabs>
        <w:tab w:val="right" w:pos="9638"/>
      </w:tabs>
      <w:spacing w:after="20"/>
      <w:jc w:val="left"/>
    </w:pPr>
    <w:r>
      <w:rPr>
        <w:rFonts w:ascii="Calibri" w:cs="Calibri" w:eastAsia="Calibri" w:hAnsi="Calibri"/>
        <w:color w:val="595959"/>
        <w:sz w:val="15"/>
        <w:szCs w:val="15"/>
      </w:rPr>
      <w:t xml:space="preserve">UNG-KVKK-AM-01 · Aydınlatma Metni</w:t>
    </w:r>
    <w:r>
      <w:rPr>
        <w:rFonts w:ascii="Calibri" w:cs="Calibri" w:eastAsia="Calibri" w:hAnsi="Calibri"/>
        <w:sz w:val="15"/>
        <w:szCs w:val="15"/>
      </w:rPr>
      <w:t xml:space="preserve">	</w:t>
    </w:r>
    <w:r>
      <w:rPr>
        <w:rFonts w:ascii="Calibri" w:cs="Calibri" w:eastAsia="Calibri" w:hAnsi="Calibri"/>
        <w:color w:val="595959"/>
        <w:sz w:val="15"/>
        <w:szCs w:val="15"/>
      </w:rPr>
      <w:t xml:space="preserve">Sayfa </w:t>
    </w:r>
    <w:r>
      <w:rPr>
        <w:rFonts w:ascii="Calibri" w:cs="Calibri" w:eastAsia="Calibri" w:hAnsi="Calibri"/>
        <w:color w:val="595959"/>
        <w:sz w:val="15"/>
        <w:szCs w:val="15"/>
      </w:rPr>
      <w:fldChar w:fldCharType="begin"/>
      <w:instrText xml:space="preserve">PAGE</w:instrText>
      <w:fldChar w:fldCharType="separate"/>
      <w:fldChar w:fldCharType="end"/>
    </w:r>
    <w:r>
      <w:rPr>
        <w:rFonts w:ascii="Calibri" w:cs="Calibri" w:eastAsia="Calibri" w:hAnsi="Calibri"/>
        <w:color w:val="595959"/>
        <w:sz w:val="15"/>
        <w:szCs w:val="15"/>
      </w:rPr>
      <w:t xml:space="preserve"> / </w:t>
    </w:r>
    <w:r>
      <w:rPr>
        <w:rFonts w:ascii="Calibri" w:cs="Calibri" w:eastAsia="Calibri" w:hAnsi="Calibri"/>
        <w:color w:val="595959"/>
        <w:sz w:val="15"/>
        <w:szCs w:val="15"/>
      </w:rPr>
      <w:fldChar w:fldCharType="begin"/>
      <w:instrText xml:space="preserve">NUMPAGES</w:instrText>
      <w:fldChar w:fldCharType="separate"/>
      <w:fldChar w:fldCharType="end"/>
    </w:r>
  </w:p>
  <w:p>
    <w:pPr>
      <w:spacing w:before="0"/>
      <w:jc w:val="left"/>
    </w:pPr>
    <w:r>
      <w:rPr>
        <w:rFonts w:ascii="Calibri" w:cs="Calibri" w:eastAsia="Calibri" w:hAnsi="Calibri"/>
        <w:i/>
        <w:iCs/>
        <w:color w:val="595959"/>
        <w:sz w:val="14"/>
        <w:szCs w:val="14"/>
      </w:rPr>
      <w:t xml:space="preserve">Bu belge Nesil Teknoloji tarafından hazırlanmıştır. Güncel sürüm www.ungmedical.com adresinde yayımlanır ve mevzuat değişiklikleri doğrultusunda güncellenir.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6E2" w:sz="6" w:space="4"/>
      </w:pBdr>
      <w:spacing w:after="40"/>
      <w:jc w:val="right"/>
    </w:pPr>
    <w:r>
      <w:rPr>
        <w:rFonts w:ascii="Calibri" w:cs="Calibri" w:eastAsia="Calibri" w:hAnsi="Calibri"/>
        <w:color w:val="595959"/>
        <w:sz w:val="16"/>
        <w:szCs w:val="16"/>
      </w:rPr>
      <w:t xml:space="preserve">UNG Sağlık Teknolojileri Ürünleri ve Hizmetleri Ltd. Şti.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2026-09-01T12:46:47.802Z</dcterms:created>
  <dcterms:modified xsi:type="dcterms:W3CDTF">2026-09-01T12:46:47.812Z</dcterms:modified>
</cp:coreProperties>
</file>

<file path=docProps/custom.xml><?xml version="1.0" encoding="utf-8"?>
<Properties xmlns="http://schemas.openxmlformats.org/officeDocument/2006/custom-properties" xmlns:vt="http://schemas.openxmlformats.org/officeDocument/2006/docPropsVTypes"/>
</file>